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957EA" w14:textId="77777777" w:rsidR="00E1687D" w:rsidRPr="00FD1A35" w:rsidRDefault="005A30FC">
      <w:pPr>
        <w:pStyle w:val="Title"/>
        <w:rPr>
          <w:rFonts w:ascii="Montserrat Black" w:hAnsi="Montserrat Black"/>
          <w:b/>
          <w:bCs/>
        </w:rPr>
      </w:pPr>
      <w:bookmarkStart w:id="0" w:name="_oxae2c7fy50i" w:colFirst="0" w:colLast="0"/>
      <w:bookmarkEnd w:id="0"/>
      <w:r w:rsidRPr="00FD1A35">
        <w:rPr>
          <w:rFonts w:ascii="Montserrat Black" w:hAnsi="Montserrat Black"/>
          <w:b/>
          <w:bCs/>
          <w:noProof/>
        </w:rPr>
        <w:drawing>
          <wp:anchor distT="0" distB="0" distL="0" distR="0" simplePos="0" relativeHeight="251658240" behindDoc="0" locked="0" layoutInCell="1" hidden="0" allowOverlap="1" wp14:anchorId="43EC7283" wp14:editId="60F1E9C6">
            <wp:simplePos x="0" y="0"/>
            <wp:positionH relativeFrom="margin">
              <wp:posOffset>2514600</wp:posOffset>
            </wp:positionH>
            <wp:positionV relativeFrom="margin">
              <wp:posOffset>-647699</wp:posOffset>
            </wp:positionV>
            <wp:extent cx="1828800" cy="1270000"/>
            <wp:effectExtent l="0" t="0" r="0" b="0"/>
            <wp:wrapTopAndBottom distT="0" dist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828800" cy="1270000"/>
                    </a:xfrm>
                    <a:prstGeom prst="rect">
                      <a:avLst/>
                    </a:prstGeom>
                    <a:ln/>
                  </pic:spPr>
                </pic:pic>
              </a:graphicData>
            </a:graphic>
          </wp:anchor>
        </w:drawing>
      </w:r>
      <w:r w:rsidRPr="00FD1A35">
        <w:rPr>
          <w:rFonts w:ascii="Montserrat Black" w:hAnsi="Montserrat Black"/>
          <w:b/>
          <w:bCs/>
        </w:rPr>
        <w:t>Stop Starry Stonewort: Community-Driven Solutions for Prevention and Management</w:t>
      </w:r>
    </w:p>
    <w:p w14:paraId="6CAE6DB8" w14:textId="77777777" w:rsidR="00E1687D" w:rsidRPr="00FD1A35" w:rsidRDefault="00E1687D">
      <w:pPr>
        <w:spacing w:line="240" w:lineRule="auto"/>
        <w:jc w:val="center"/>
        <w:rPr>
          <w:rFonts w:ascii="Montserrat Medium" w:eastAsia="Montserrat ExtraBold" w:hAnsi="Montserrat Medium" w:cs="Montserrat ExtraBold"/>
          <w:color w:val="0B5394"/>
          <w:sz w:val="30"/>
          <w:szCs w:val="30"/>
        </w:rPr>
      </w:pPr>
    </w:p>
    <w:p w14:paraId="7AB41125" w14:textId="77777777" w:rsidR="00E1687D" w:rsidRPr="00FD1A35" w:rsidRDefault="005A30FC">
      <w:pPr>
        <w:shd w:val="clear" w:color="auto" w:fill="FFFFFF"/>
        <w:spacing w:line="327" w:lineRule="auto"/>
        <w:rPr>
          <w:rFonts w:ascii="Montserrat Medium" w:hAnsi="Montserrat Medium"/>
          <w:color w:val="121519"/>
        </w:rPr>
      </w:pPr>
      <w:r w:rsidRPr="00FD1A35">
        <w:rPr>
          <w:rFonts w:ascii="Montserrat Medium" w:hAnsi="Montserrat Medium"/>
          <w:color w:val="121519"/>
        </w:rPr>
        <w:t>Since its discovery in Lake Koronis in 2015, starry stonewort (</w:t>
      </w:r>
      <w:proofErr w:type="spellStart"/>
      <w:r w:rsidRPr="00FD1A35">
        <w:rPr>
          <w:rFonts w:ascii="Montserrat Medium" w:hAnsi="Montserrat Medium"/>
          <w:color w:val="121519"/>
        </w:rPr>
        <w:t>Nitellopsis</w:t>
      </w:r>
      <w:proofErr w:type="spellEnd"/>
      <w:r w:rsidRPr="00FD1A35">
        <w:rPr>
          <w:rFonts w:ascii="Montserrat Medium" w:hAnsi="Montserrat Medium"/>
          <w:color w:val="121519"/>
        </w:rPr>
        <w:t xml:space="preserve"> </w:t>
      </w:r>
      <w:proofErr w:type="spellStart"/>
      <w:r w:rsidRPr="00FD1A35">
        <w:rPr>
          <w:rFonts w:ascii="Montserrat Medium" w:hAnsi="Montserrat Medium"/>
          <w:color w:val="121519"/>
        </w:rPr>
        <w:t>obtusa</w:t>
      </w:r>
      <w:proofErr w:type="spellEnd"/>
      <w:r w:rsidRPr="00FD1A35">
        <w:rPr>
          <w:rFonts w:ascii="Montserrat Medium" w:hAnsi="Montserrat Medium"/>
          <w:color w:val="121519"/>
        </w:rPr>
        <w:t>) has spread to 31 waterbodies in Minnesota. This aggressive macroalgae reproduces rapidly, posing a significant threat as it forms dense mats in shallow, nearshore waters, cr</w:t>
      </w:r>
      <w:r w:rsidRPr="00FD1A35">
        <w:rPr>
          <w:rFonts w:ascii="Montserrat Medium" w:hAnsi="Montserrat Medium"/>
          <w:color w:val="121519"/>
        </w:rPr>
        <w:t>owding out native plants like Chara and southern naiad—critical species for fish habitat and spawning</w:t>
      </w:r>
    </w:p>
    <w:p w14:paraId="6902A875" w14:textId="77777777" w:rsidR="00E1687D" w:rsidRPr="00FD1A35" w:rsidRDefault="00E1687D">
      <w:pPr>
        <w:shd w:val="clear" w:color="auto" w:fill="FFFFFF"/>
        <w:spacing w:line="327" w:lineRule="auto"/>
        <w:rPr>
          <w:rFonts w:ascii="Montserrat Medium" w:hAnsi="Montserrat Medium"/>
          <w:color w:val="121519"/>
        </w:rPr>
      </w:pPr>
    </w:p>
    <w:p w14:paraId="26057FA0" w14:textId="77777777" w:rsidR="00E1687D" w:rsidRPr="00FD1A35" w:rsidRDefault="005A30FC">
      <w:pPr>
        <w:shd w:val="clear" w:color="auto" w:fill="FFFFFF"/>
        <w:spacing w:line="327" w:lineRule="auto"/>
        <w:rPr>
          <w:rFonts w:ascii="Montserrat Medium" w:hAnsi="Montserrat Medium"/>
          <w:color w:val="121519"/>
        </w:rPr>
      </w:pPr>
      <w:r w:rsidRPr="00FD1A35">
        <w:rPr>
          <w:rFonts w:ascii="Montserrat Medium" w:hAnsi="Montserrat Medium"/>
          <w:color w:val="121519"/>
        </w:rPr>
        <w:t>As these native plants disappear, game fish such as bass, walleye, and muskie struggle to find viable hunting grounds. The recreational impact is equally</w:t>
      </w:r>
      <w:r w:rsidRPr="00FD1A35">
        <w:rPr>
          <w:rFonts w:ascii="Montserrat Medium" w:hAnsi="Montserrat Medium"/>
          <w:color w:val="121519"/>
        </w:rPr>
        <w:t xml:space="preserve"> disruptive, as starry stonewort clogs boat motors, blankets swim beaches, and obstructs public water access. For lake associations, managing starry stonewort after it takes hold is difficult and expensive. Treatments like mechanical harvesting and copper-</w:t>
      </w:r>
      <w:r w:rsidRPr="00FD1A35">
        <w:rPr>
          <w:rFonts w:ascii="Montserrat Medium" w:hAnsi="Montserrat Medium"/>
          <w:color w:val="121519"/>
        </w:rPr>
        <w:t>based algaecides can cost up to $200,000 annually, with limited long-term results.</w:t>
      </w:r>
    </w:p>
    <w:p w14:paraId="3BFDDEEA" w14:textId="77777777" w:rsidR="00E1687D" w:rsidRPr="00FD1A35" w:rsidRDefault="00E1687D">
      <w:pPr>
        <w:shd w:val="clear" w:color="auto" w:fill="FFFFFF"/>
        <w:spacing w:line="327" w:lineRule="auto"/>
        <w:rPr>
          <w:rFonts w:ascii="Montserrat Medium" w:hAnsi="Montserrat Medium"/>
          <w:color w:val="121519"/>
        </w:rPr>
      </w:pPr>
    </w:p>
    <w:p w14:paraId="155D7CEB" w14:textId="77777777" w:rsidR="00E1687D" w:rsidRPr="00FD1A35" w:rsidRDefault="005A30FC">
      <w:pPr>
        <w:shd w:val="clear" w:color="auto" w:fill="FFFFFF"/>
        <w:spacing w:line="327" w:lineRule="auto"/>
        <w:rPr>
          <w:rFonts w:ascii="Montserrat Medium" w:hAnsi="Montserrat Medium"/>
          <w:color w:val="121519"/>
        </w:rPr>
      </w:pPr>
      <w:r w:rsidRPr="00FD1A35">
        <w:rPr>
          <w:rFonts w:ascii="Montserrat Medium" w:hAnsi="Montserrat Medium"/>
          <w:color w:val="121519"/>
        </w:rPr>
        <w:t>In 2021, Minnesota Lakes and Rivers Advocates launched the Stop Starry Program to prevent the spread of starry stonewort by addressing a critical gap in boat cleaning pract</w:t>
      </w:r>
      <w:r w:rsidRPr="00FD1A35">
        <w:rPr>
          <w:rFonts w:ascii="Montserrat Medium" w:hAnsi="Montserrat Medium"/>
          <w:color w:val="121519"/>
        </w:rPr>
        <w:t>ices. While 90% of boaters know to “Clean, Drain, Dry,” only 60% comply due to a lack of access to adequate cleaning tools.</w:t>
      </w:r>
    </w:p>
    <w:tbl>
      <w:tblPr>
        <w:tblStyle w:val="a"/>
        <w:tblpPr w:rightFromText="180" w:vertAnchor="text" w:tblpX="15"/>
        <w:tblW w:w="5112" w:type="dxa"/>
        <w:tblLayout w:type="fixed"/>
        <w:tblLook w:val="0600" w:firstRow="0" w:lastRow="0" w:firstColumn="0" w:lastColumn="0" w:noHBand="1" w:noVBand="1"/>
      </w:tblPr>
      <w:tblGrid>
        <w:gridCol w:w="5112"/>
      </w:tblGrid>
      <w:tr w:rsidR="00E1687D" w:rsidRPr="00FD1A35" w14:paraId="69F87556" w14:textId="77777777">
        <w:trPr>
          <w:cantSplit/>
        </w:trPr>
        <w:tc>
          <w:tcPr>
            <w:tcW w:w="5112" w:type="dxa"/>
            <w:tcMar>
              <w:top w:w="0" w:type="dxa"/>
              <w:left w:w="0" w:type="dxa"/>
              <w:bottom w:w="0" w:type="dxa"/>
              <w:right w:w="0" w:type="dxa"/>
            </w:tcMar>
          </w:tcPr>
          <w:p w14:paraId="3E8E08E8" w14:textId="77777777" w:rsidR="00E1687D" w:rsidRPr="00FD1A35" w:rsidRDefault="005A30FC">
            <w:pPr>
              <w:widowControl w:val="0"/>
              <w:spacing w:line="240" w:lineRule="auto"/>
              <w:rPr>
                <w:rFonts w:ascii="Montserrat Medium" w:eastAsia="Montserrat ExtraBold" w:hAnsi="Montserrat Medium" w:cs="Montserrat ExtraBold"/>
                <w:color w:val="0B5394"/>
                <w:sz w:val="30"/>
                <w:szCs w:val="30"/>
              </w:rPr>
            </w:pPr>
            <w:r w:rsidRPr="00FD1A35">
              <w:rPr>
                <w:rFonts w:ascii="Montserrat Medium" w:eastAsia="Montserrat ExtraBold" w:hAnsi="Montserrat Medium" w:cs="Montserrat ExtraBold"/>
                <w:noProof/>
                <w:color w:val="0B5394"/>
                <w:sz w:val="30"/>
                <w:szCs w:val="30"/>
              </w:rPr>
              <w:drawing>
                <wp:inline distT="0" distB="0" distL="0" distR="228600" wp14:anchorId="3BA23722" wp14:editId="5929E3E6">
                  <wp:extent cx="3246120" cy="290295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46120" cy="2902959"/>
                          </a:xfrm>
                          <a:prstGeom prst="rect">
                            <a:avLst/>
                          </a:prstGeom>
                          <a:ln/>
                        </pic:spPr>
                      </pic:pic>
                    </a:graphicData>
                  </a:graphic>
                </wp:inline>
              </w:drawing>
            </w:r>
          </w:p>
        </w:tc>
      </w:tr>
      <w:tr w:rsidR="00E1687D" w:rsidRPr="00FD1A35" w14:paraId="337F16B5" w14:textId="77777777">
        <w:trPr>
          <w:cantSplit/>
        </w:trPr>
        <w:tc>
          <w:tcPr>
            <w:tcW w:w="5112" w:type="dxa"/>
            <w:tcMar>
              <w:top w:w="0" w:type="dxa"/>
              <w:left w:w="0" w:type="dxa"/>
              <w:bottom w:w="0" w:type="dxa"/>
              <w:right w:w="0" w:type="dxa"/>
            </w:tcMar>
          </w:tcPr>
          <w:p w14:paraId="7BBA41E6" w14:textId="77777777" w:rsidR="00E1687D" w:rsidRPr="00FD1A35" w:rsidRDefault="005A30FC">
            <w:pPr>
              <w:pStyle w:val="Subtitle"/>
              <w:rPr>
                <w:rFonts w:ascii="Montserrat Medium" w:hAnsi="Montserrat Medium"/>
              </w:rPr>
            </w:pPr>
            <w:bookmarkStart w:id="1" w:name="_qjc2jrxgtln0" w:colFirst="0" w:colLast="0"/>
            <w:bookmarkEnd w:id="1"/>
            <w:r w:rsidRPr="00FD1A35">
              <w:rPr>
                <w:rFonts w:ascii="Montserrat Medium" w:hAnsi="Montserrat Medium"/>
              </w:rPr>
              <w:t>MLR has installed 30 CD3 cleaning stations across 21 different water bodies with Starry Stonewort. Staff and partners collaborate</w:t>
            </w:r>
            <w:r w:rsidRPr="00FD1A35">
              <w:rPr>
                <w:rFonts w:ascii="Montserrat Medium" w:hAnsi="Montserrat Medium"/>
              </w:rPr>
              <w:t xml:space="preserve"> on local and broad outreach. </w:t>
            </w:r>
          </w:p>
        </w:tc>
      </w:tr>
    </w:tbl>
    <w:p w14:paraId="2D96E4DD" w14:textId="77777777" w:rsidR="00E1687D" w:rsidRPr="00FD1A35" w:rsidRDefault="005A30FC">
      <w:pPr>
        <w:shd w:val="clear" w:color="auto" w:fill="FFFFFF"/>
        <w:spacing w:line="327" w:lineRule="auto"/>
        <w:rPr>
          <w:rFonts w:ascii="Montserrat Medium" w:hAnsi="Montserrat Medium"/>
          <w:color w:val="121519"/>
        </w:rPr>
      </w:pPr>
      <w:r w:rsidRPr="00FD1A35">
        <w:rPr>
          <w:rFonts w:ascii="Montserrat Medium" w:hAnsi="Montserrat Medium"/>
          <w:color w:val="121519"/>
        </w:rPr>
        <w:t>With support from the Environmental and Natural Resources Trust Fund (ENTRF), a pilot that began with three CD3 waterless boat-cleaning stations in 2021 has grown to 30 stations across 21 waterbodies in 2024, logging over 15</w:t>
      </w:r>
      <w:r w:rsidRPr="00FD1A35">
        <w:rPr>
          <w:rFonts w:ascii="Montserrat Medium" w:hAnsi="Montserrat Medium"/>
          <w:color w:val="121519"/>
        </w:rPr>
        <w:t>,000 uses</w:t>
      </w:r>
    </w:p>
    <w:p w14:paraId="10D6B43A" w14:textId="77777777" w:rsidR="00E1687D" w:rsidRPr="00FD1A35" w:rsidRDefault="00E1687D">
      <w:pPr>
        <w:shd w:val="clear" w:color="auto" w:fill="FFFFFF"/>
        <w:spacing w:line="327" w:lineRule="auto"/>
        <w:rPr>
          <w:rFonts w:ascii="Montserrat Medium" w:hAnsi="Montserrat Medium"/>
          <w:color w:val="121519"/>
        </w:rPr>
      </w:pPr>
    </w:p>
    <w:p w14:paraId="17CCC28E" w14:textId="77777777" w:rsidR="00E1687D" w:rsidRPr="00FD1A35" w:rsidRDefault="005A30FC">
      <w:pPr>
        <w:shd w:val="clear" w:color="auto" w:fill="FFFFFF"/>
        <w:spacing w:line="327" w:lineRule="auto"/>
        <w:rPr>
          <w:rFonts w:ascii="Montserrat Medium" w:hAnsi="Montserrat Medium"/>
          <w:color w:val="121519"/>
        </w:rPr>
      </w:pPr>
      <w:r w:rsidRPr="00FD1A35">
        <w:rPr>
          <w:rFonts w:ascii="Montserrat Medium" w:hAnsi="Montserrat Medium"/>
          <w:color w:val="121519"/>
        </w:rPr>
        <w:t>In addition to installing tool stations, MLR and its partners have focused on education and public awareness. The program reached hundreds of thousands of Minnesotans through public service announcements, media campaigns, and over 50 outreach ev</w:t>
      </w:r>
      <w:r w:rsidRPr="00FD1A35">
        <w:rPr>
          <w:rFonts w:ascii="Montserrat Medium" w:hAnsi="Montserrat Medium"/>
          <w:color w:val="121519"/>
        </w:rPr>
        <w:t>ents in 2024, including the Minnesota State Fair and the National Loon Center Festival.</w:t>
      </w:r>
    </w:p>
    <w:p w14:paraId="25507EE1" w14:textId="77777777" w:rsidR="00E1687D" w:rsidRPr="00FD1A35" w:rsidRDefault="00E1687D">
      <w:pPr>
        <w:shd w:val="clear" w:color="auto" w:fill="FFFFFF"/>
        <w:spacing w:before="240" w:after="240" w:line="327" w:lineRule="auto"/>
        <w:rPr>
          <w:rFonts w:ascii="Montserrat Medium" w:hAnsi="Montserrat Medium"/>
        </w:rPr>
      </w:pPr>
    </w:p>
    <w:tbl>
      <w:tblPr>
        <w:tblStyle w:val="a0"/>
        <w:tblpPr w:rightFromText="180" w:vertAnchor="text" w:tblpX="30" w:tblpY="285"/>
        <w:tblW w:w="5112" w:type="dxa"/>
        <w:tblLayout w:type="fixed"/>
        <w:tblLook w:val="0600" w:firstRow="0" w:lastRow="0" w:firstColumn="0" w:lastColumn="0" w:noHBand="1" w:noVBand="1"/>
      </w:tblPr>
      <w:tblGrid>
        <w:gridCol w:w="5112"/>
      </w:tblGrid>
      <w:tr w:rsidR="00E1687D" w:rsidRPr="00FD1A35" w14:paraId="1D65761E" w14:textId="77777777">
        <w:trPr>
          <w:cantSplit/>
        </w:trPr>
        <w:tc>
          <w:tcPr>
            <w:tcW w:w="5112" w:type="dxa"/>
            <w:tcMar>
              <w:top w:w="0" w:type="dxa"/>
              <w:left w:w="0" w:type="dxa"/>
              <w:bottom w:w="0" w:type="dxa"/>
              <w:right w:w="0" w:type="dxa"/>
            </w:tcMar>
          </w:tcPr>
          <w:p w14:paraId="1C20478C" w14:textId="77777777" w:rsidR="00E1687D" w:rsidRPr="00FD1A35" w:rsidRDefault="005A30FC">
            <w:pPr>
              <w:widowControl w:val="0"/>
              <w:spacing w:line="240" w:lineRule="auto"/>
              <w:rPr>
                <w:rFonts w:ascii="Montserrat Medium" w:eastAsia="Montserrat ExtraBold" w:hAnsi="Montserrat Medium" w:cs="Montserrat ExtraBold"/>
                <w:color w:val="0B5394"/>
                <w:sz w:val="30"/>
                <w:szCs w:val="30"/>
              </w:rPr>
            </w:pPr>
            <w:r w:rsidRPr="00FD1A35">
              <w:rPr>
                <w:rFonts w:ascii="Montserrat Medium" w:eastAsia="Montserrat ExtraBold" w:hAnsi="Montserrat Medium" w:cs="Montserrat ExtraBold"/>
                <w:noProof/>
                <w:color w:val="0B5394"/>
                <w:sz w:val="30"/>
                <w:szCs w:val="30"/>
              </w:rPr>
              <w:drawing>
                <wp:inline distT="114300" distB="114300" distL="114300" distR="228600" wp14:anchorId="3718D283" wp14:editId="4E50AAE7">
                  <wp:extent cx="3200400" cy="242829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00400" cy="2428299"/>
                          </a:xfrm>
                          <a:prstGeom prst="rect">
                            <a:avLst/>
                          </a:prstGeom>
                          <a:ln/>
                        </pic:spPr>
                      </pic:pic>
                    </a:graphicData>
                  </a:graphic>
                </wp:inline>
              </w:drawing>
            </w:r>
          </w:p>
        </w:tc>
      </w:tr>
      <w:tr w:rsidR="00E1687D" w:rsidRPr="00FD1A35" w14:paraId="046B861A" w14:textId="77777777">
        <w:trPr>
          <w:cantSplit/>
        </w:trPr>
        <w:tc>
          <w:tcPr>
            <w:tcW w:w="5112" w:type="dxa"/>
            <w:tcMar>
              <w:top w:w="0" w:type="dxa"/>
              <w:left w:w="0" w:type="dxa"/>
              <w:bottom w:w="0" w:type="dxa"/>
              <w:right w:w="0" w:type="dxa"/>
            </w:tcMar>
          </w:tcPr>
          <w:p w14:paraId="58710F79" w14:textId="77777777" w:rsidR="00E1687D" w:rsidRPr="00FD1A35" w:rsidRDefault="005A30FC">
            <w:pPr>
              <w:pStyle w:val="Subtitle"/>
              <w:rPr>
                <w:rFonts w:ascii="Montserrat Medium" w:hAnsi="Montserrat Medium"/>
              </w:rPr>
            </w:pPr>
            <w:bookmarkStart w:id="2" w:name="_4lo2ryyq5qjg" w:colFirst="0" w:colLast="0"/>
            <w:bookmarkEnd w:id="2"/>
            <w:r w:rsidRPr="00FD1A35">
              <w:rPr>
                <w:rFonts w:ascii="Montserrat Medium" w:hAnsi="Montserrat Medium"/>
              </w:rPr>
              <w:t>Control strategies like Diver Assisted Suction Harvest, copper algaecide, contained hand-pulling, and biodegradable benthic barriers are all being tested to manage Starry Stonewort</w:t>
            </w:r>
          </w:p>
        </w:tc>
      </w:tr>
    </w:tbl>
    <w:p w14:paraId="2C045190" w14:textId="77777777" w:rsidR="00E1687D" w:rsidRPr="00FD1A35" w:rsidRDefault="005A30FC">
      <w:pPr>
        <w:shd w:val="clear" w:color="auto" w:fill="FFFFFF"/>
        <w:spacing w:before="240" w:after="240" w:line="327" w:lineRule="auto"/>
        <w:rPr>
          <w:rFonts w:ascii="Montserrat Medium" w:hAnsi="Montserrat Medium"/>
          <w:color w:val="121519"/>
        </w:rPr>
      </w:pPr>
      <w:r w:rsidRPr="00FD1A35">
        <w:rPr>
          <w:rFonts w:ascii="Montserrat Medium" w:hAnsi="Montserrat Medium"/>
          <w:color w:val="121519"/>
        </w:rPr>
        <w:t>On the treatment side, Stop Starry supports innovative control methods lik</w:t>
      </w:r>
      <w:r w:rsidRPr="00FD1A35">
        <w:rPr>
          <w:rFonts w:ascii="Montserrat Medium" w:hAnsi="Montserrat Medium"/>
          <w:color w:val="121519"/>
        </w:rPr>
        <w:t xml:space="preserve">e biodegradable benthic barriers and diver-assisted suction harvesting (DASH). The Leech Lake Band of Ojibwe is also testing drones to locate infestations and studying starry stonewort’s impact on wild rice beds. </w:t>
      </w:r>
    </w:p>
    <w:p w14:paraId="3CB9CB0B" w14:textId="77777777" w:rsidR="00E1687D" w:rsidRPr="00FD1A35" w:rsidRDefault="005A30FC">
      <w:pPr>
        <w:shd w:val="clear" w:color="auto" w:fill="FFFFFF"/>
        <w:spacing w:before="240" w:after="240" w:line="327" w:lineRule="auto"/>
        <w:rPr>
          <w:rFonts w:ascii="Montserrat Medium" w:hAnsi="Montserrat Medium"/>
          <w:color w:val="121519"/>
        </w:rPr>
      </w:pPr>
      <w:r w:rsidRPr="00FD1A35">
        <w:rPr>
          <w:rFonts w:ascii="Montserrat Medium" w:hAnsi="Montserrat Medium"/>
          <w:color w:val="121519"/>
        </w:rPr>
        <w:t>Local and state government and academic pa</w:t>
      </w:r>
      <w:r w:rsidRPr="00FD1A35">
        <w:rPr>
          <w:rFonts w:ascii="Montserrat Medium" w:hAnsi="Montserrat Medium"/>
          <w:color w:val="121519"/>
        </w:rPr>
        <w:t>rtners agree Stop Starry complements their AIS management plans while highlighting the value of collaboration with lake associations and Tribal communities.</w:t>
      </w:r>
    </w:p>
    <w:p w14:paraId="3EAF34A5" w14:textId="77777777" w:rsidR="00E1687D" w:rsidRPr="00FD1A35" w:rsidRDefault="00E1687D">
      <w:pPr>
        <w:shd w:val="clear" w:color="auto" w:fill="FFFFFF"/>
        <w:spacing w:line="327" w:lineRule="auto"/>
        <w:rPr>
          <w:rFonts w:ascii="Montserrat Medium" w:hAnsi="Montserrat Medium"/>
          <w:color w:val="121519"/>
        </w:rPr>
      </w:pPr>
    </w:p>
    <w:p w14:paraId="62837B00" w14:textId="77777777" w:rsidR="00E1687D" w:rsidRPr="00FD1A35" w:rsidRDefault="005A30FC">
      <w:pPr>
        <w:shd w:val="clear" w:color="auto" w:fill="FFFFFF"/>
        <w:spacing w:line="327" w:lineRule="auto"/>
        <w:rPr>
          <w:rFonts w:ascii="Montserrat Medium" w:hAnsi="Montserrat Medium"/>
          <w:color w:val="121519"/>
        </w:rPr>
      </w:pPr>
      <w:r w:rsidRPr="00FD1A35">
        <w:rPr>
          <w:rFonts w:ascii="Montserrat Medium" w:hAnsi="Montserrat Medium"/>
          <w:color w:val="121519"/>
        </w:rPr>
        <w:t>The success of the Stop Starry Program is its cross-county and community-informed approach. Multip</w:t>
      </w:r>
      <w:r w:rsidRPr="00FD1A35">
        <w:rPr>
          <w:rFonts w:ascii="Montserrat Medium" w:hAnsi="Montserrat Medium"/>
          <w:color w:val="121519"/>
        </w:rPr>
        <w:t>le counties, lake associations, the Leech Lake Band of Ojibwe, and local and state government partners formed a cohesive network of stakeholders committed to AIS prevention. Monthly meetings and annual evaluations allow members to share data, discuss new t</w:t>
      </w:r>
      <w:r w:rsidRPr="00FD1A35">
        <w:rPr>
          <w:rFonts w:ascii="Montserrat Medium" w:hAnsi="Montserrat Medium"/>
          <w:color w:val="121519"/>
        </w:rPr>
        <w:t>reatment methods, and coordinate outreach efforts.</w:t>
      </w:r>
    </w:p>
    <w:p w14:paraId="69129FC4" w14:textId="77777777" w:rsidR="00E1687D" w:rsidRPr="00FD1A35" w:rsidRDefault="005A30FC">
      <w:pPr>
        <w:shd w:val="clear" w:color="auto" w:fill="FFFFFF"/>
        <w:spacing w:before="240" w:after="240" w:line="327" w:lineRule="auto"/>
        <w:rPr>
          <w:rFonts w:ascii="Montserrat Medium" w:hAnsi="Montserrat Medium"/>
          <w:color w:val="121519"/>
        </w:rPr>
      </w:pPr>
      <w:r w:rsidRPr="00FD1A35">
        <w:rPr>
          <w:rFonts w:ascii="Montserrat Medium" w:hAnsi="Montserrat Medium"/>
          <w:color w:val="121519"/>
        </w:rPr>
        <w:t>Over the past decade, Minnesota has made significant strides in addressing starry stonewort and other aquatic invasive species (AIS) through efforts like County AIS Prevention Aid and MAIRSC’s Starry Trek.</w:t>
      </w:r>
      <w:r w:rsidRPr="00FD1A35">
        <w:rPr>
          <w:rFonts w:ascii="Montserrat Medium" w:hAnsi="Montserrat Medium"/>
          <w:color w:val="121519"/>
        </w:rPr>
        <w:t xml:space="preserve"> While Michigan saw nearly all its inland lakes infested within ten years, Minnesota has kept the number to just 31 known cases. Still, for many residents, </w:t>
      </w:r>
      <w:proofErr w:type="gramStart"/>
      <w:r w:rsidRPr="00FD1A35">
        <w:rPr>
          <w:rFonts w:ascii="Montserrat Medium" w:hAnsi="Montserrat Medium"/>
          <w:color w:val="121519"/>
        </w:rPr>
        <w:t>that’s</w:t>
      </w:r>
      <w:proofErr w:type="gramEnd"/>
      <w:r w:rsidRPr="00FD1A35">
        <w:rPr>
          <w:rFonts w:ascii="Montserrat Medium" w:hAnsi="Montserrat Medium"/>
          <w:color w:val="121519"/>
        </w:rPr>
        <w:t xml:space="preserve"> 31 too many—especially as infestations creep closer to the state’s busiest boating regions.</w:t>
      </w:r>
    </w:p>
    <w:p w14:paraId="0A880A35" w14:textId="77777777" w:rsidR="00E1687D" w:rsidRPr="00FD1A35" w:rsidRDefault="005A30FC">
      <w:pPr>
        <w:shd w:val="clear" w:color="auto" w:fill="FFFFFF"/>
        <w:spacing w:before="240" w:after="240" w:line="327" w:lineRule="auto"/>
        <w:rPr>
          <w:rFonts w:ascii="Montserrat Medium" w:hAnsi="Montserrat Medium"/>
          <w:color w:val="121519"/>
        </w:rPr>
      </w:pPr>
      <w:r w:rsidRPr="00FD1A35">
        <w:rPr>
          <w:rFonts w:ascii="Montserrat Medium" w:hAnsi="Montserrat Medium"/>
          <w:color w:val="121519"/>
        </w:rPr>
        <w:t>T</w:t>
      </w:r>
      <w:r w:rsidRPr="00FD1A35">
        <w:rPr>
          <w:rFonts w:ascii="Montserrat Medium" w:hAnsi="Montserrat Medium"/>
          <w:color w:val="121519"/>
        </w:rPr>
        <w:t>he Stop Starry program stands out as a model of regional civic organizing, emphasizing prevention, early detection, and building awareness and local capacity to respond. Minnesota Lakes and Rivers Advocates (MLR) is expanding pilot programs like Stop Starr</w:t>
      </w:r>
      <w:r w:rsidRPr="00FD1A35">
        <w:rPr>
          <w:rFonts w:ascii="Montserrat Medium" w:hAnsi="Montserrat Medium"/>
          <w:color w:val="121519"/>
        </w:rPr>
        <w:t>y to protect the health and accessibility of our waters. Supporting MLR through membership helps sustain these efforts for future generations.</w:t>
      </w:r>
    </w:p>
    <w:p w14:paraId="1FFC4B3A" w14:textId="77777777" w:rsidR="00E1687D" w:rsidRPr="00FD1A35" w:rsidRDefault="005A30FC">
      <w:pPr>
        <w:shd w:val="clear" w:color="auto" w:fill="FFFFFF"/>
        <w:spacing w:before="240" w:after="240" w:line="327" w:lineRule="auto"/>
        <w:rPr>
          <w:rFonts w:ascii="Montserrat Medium" w:hAnsi="Montserrat Medium"/>
          <w:color w:val="121519"/>
        </w:rPr>
      </w:pPr>
      <w:r w:rsidRPr="00FD1A35">
        <w:rPr>
          <w:rFonts w:ascii="Montserrat Medium" w:hAnsi="Montserrat Medium"/>
          <w:color w:val="121519"/>
        </w:rPr>
        <w:t xml:space="preserve">Learn more about Stop Starry Stonewort, visit </w:t>
      </w:r>
      <w:hyperlink r:id="rId9">
        <w:r w:rsidRPr="00FD1A35">
          <w:rPr>
            <w:rFonts w:ascii="Montserrat Medium" w:hAnsi="Montserrat Medium"/>
            <w:color w:val="1155CC"/>
            <w:u w:val="single"/>
          </w:rPr>
          <w:t>www.m</w:t>
        </w:r>
        <w:r w:rsidRPr="00FD1A35">
          <w:rPr>
            <w:rFonts w:ascii="Montserrat Medium" w:hAnsi="Montserrat Medium"/>
            <w:color w:val="1155CC"/>
            <w:u w:val="single"/>
          </w:rPr>
          <w:t>nlakesandrivers.org/stopstarry</w:t>
        </w:r>
      </w:hyperlink>
      <w:r w:rsidRPr="00FD1A35">
        <w:rPr>
          <w:rFonts w:ascii="Montserrat Medium" w:hAnsi="Montserrat Medium"/>
          <w:color w:val="121519"/>
        </w:rPr>
        <w:t xml:space="preserve"> or contact MLR Associate Director and AIS Lead Organizer, Sami Selter: sami@mnlakesandrivers.org 612-351-1916</w:t>
      </w:r>
    </w:p>
    <w:p w14:paraId="0851C482" w14:textId="77777777" w:rsidR="00E1687D" w:rsidRPr="00FD1A35" w:rsidRDefault="00E1687D">
      <w:pPr>
        <w:shd w:val="clear" w:color="auto" w:fill="FFFFFF"/>
        <w:spacing w:before="240" w:after="240" w:line="327" w:lineRule="auto"/>
        <w:rPr>
          <w:rFonts w:ascii="Montserrat Medium" w:hAnsi="Montserrat Medium"/>
          <w:color w:val="121519"/>
        </w:rPr>
      </w:pPr>
    </w:p>
    <w:sectPr w:rsidR="00E1687D" w:rsidRPr="00FD1A35">
      <w:headerReference w:type="default" r:id="rId10"/>
      <w:headerReference w:type="first" r:id="rId11"/>
      <w:footerReference w:type="first" r:id="rId12"/>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641C" w14:textId="77777777" w:rsidR="005A30FC" w:rsidRDefault="005A30FC">
      <w:pPr>
        <w:spacing w:line="240" w:lineRule="auto"/>
      </w:pPr>
      <w:r>
        <w:separator/>
      </w:r>
    </w:p>
  </w:endnote>
  <w:endnote w:type="continuationSeparator" w:id="0">
    <w:p w14:paraId="680126C6" w14:textId="77777777" w:rsidR="005A30FC" w:rsidRDefault="005A3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B3A3" w14:textId="77777777" w:rsidR="00E1687D" w:rsidRDefault="00E16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D0BA" w14:textId="77777777" w:rsidR="005A30FC" w:rsidRDefault="005A30FC">
      <w:pPr>
        <w:spacing w:line="240" w:lineRule="auto"/>
      </w:pPr>
      <w:r>
        <w:separator/>
      </w:r>
    </w:p>
  </w:footnote>
  <w:footnote w:type="continuationSeparator" w:id="0">
    <w:p w14:paraId="0E485D7B" w14:textId="77777777" w:rsidR="005A30FC" w:rsidRDefault="005A3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0AD5" w14:textId="77777777" w:rsidR="00E1687D" w:rsidRDefault="00E168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5457" w14:textId="77777777" w:rsidR="00E1687D" w:rsidRDefault="00E168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7D"/>
    <w:rsid w:val="005A30FC"/>
    <w:rsid w:val="00E1687D"/>
    <w:rsid w:val="00FD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F6D5"/>
  <w15:docId w15:val="{D7895FB3-1444-48E9-A541-CBF882AE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Montserrat ExtraBold" w:eastAsia="Montserrat ExtraBold" w:hAnsi="Montserrat ExtraBold" w:cs="Montserrat ExtraBold"/>
      <w:color w:val="0B5394"/>
      <w:sz w:val="30"/>
      <w:szCs w:val="30"/>
    </w:rPr>
  </w:style>
  <w:style w:type="paragraph" w:styleId="Subtitle">
    <w:name w:val="Subtitle"/>
    <w:basedOn w:val="Normal"/>
    <w:next w:val="Normal"/>
    <w:uiPriority w:val="11"/>
    <w:qFormat/>
    <w:pPr>
      <w:keepNext/>
      <w:keepLines/>
      <w:spacing w:line="240" w:lineRule="auto"/>
    </w:pPr>
    <w:rPr>
      <w: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nlakesandrivers.org/stopstar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Sami Selter</cp:lastModifiedBy>
  <cp:revision>2</cp:revision>
  <dcterms:created xsi:type="dcterms:W3CDTF">2025-04-30T17:03:00Z</dcterms:created>
  <dcterms:modified xsi:type="dcterms:W3CDTF">2025-04-30T17:05:00Z</dcterms:modified>
</cp:coreProperties>
</file>